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许昌市商务局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二〇一九年八月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许昌市商务局部门</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黑体" w:eastAsia="黑体" w:cs="黑体"/>
          <w:color w:val="auto"/>
          <w:sz w:val="48"/>
          <w:szCs w:val="4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许昌市商务局部门</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numPr>
          <w:ilvl w:val="0"/>
          <w:numId w:val="0"/>
        </w:numPr>
        <w:spacing w:line="360" w:lineRule="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（一）许昌市商务局</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lang w:eastAsia="zh-CN"/>
        </w:rPr>
        <w:t>贯彻落实国家、省有关国内外贸易和国际国内经济合作方面的法律法规和方针政策,拟订我市相关的规范性文件和措施。</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lang w:eastAsia="zh-CN"/>
        </w:rPr>
        <w:t>统筹协调、归口管理全市对外开放、商贸流通、对外贸易、国际经济技术合作和电子商务等工作，拟定并组织实施发展规划、年度计划和意见措施,深化商务领域改革。</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lang w:eastAsia="zh-CN"/>
        </w:rPr>
        <w:t>负责全市对外开放的宏观指导和组织协调,研究推进开放带动主战略实施的长效机制;督促检查对外开放政策措施的落实情况,协调解决对外开放工作中出现的重大问题。</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4.</w:t>
      </w:r>
      <w:r>
        <w:rPr>
          <w:rFonts w:hint="eastAsia" w:ascii="仿宋_GB2312" w:hAnsi="宋体" w:eastAsia="仿宋_GB2312" w:cs="宋体"/>
          <w:kern w:val="0"/>
          <w:sz w:val="32"/>
          <w:szCs w:val="32"/>
          <w:highlight w:val="none"/>
          <w:lang w:eastAsia="zh-CN"/>
        </w:rPr>
        <w:t>负责全市商务系统涉及世界贸易组织相关事务的指导和服务工作;组织协调反倾销、反补贴和保障措施及其他与进出口公平贸易相关的工作;建立进出口公平贸易预警机制，组织产业损害调查，指导协调产业安全应对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lang w:eastAsia="zh-CN"/>
        </w:rPr>
        <w:t>拟订规范全市商务领域市场秩序的意见措施；负责全市商务领域诚信体系建设;负责督导全市商务领域监管执法和举报投诉服务体系建设及管理工作；负责拟订全市药品流通行业发展规划、促进措施, 推进药品流通行业结构调整。</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6.</w:t>
      </w:r>
      <w:r>
        <w:rPr>
          <w:rFonts w:hint="eastAsia" w:ascii="仿宋_GB2312" w:hAnsi="宋体" w:eastAsia="仿宋_GB2312" w:cs="宋体"/>
          <w:kern w:val="0"/>
          <w:sz w:val="32"/>
          <w:szCs w:val="32"/>
          <w:highlight w:val="none"/>
          <w:lang w:eastAsia="zh-CN"/>
        </w:rPr>
        <w:t>负责全市市场体系建设工作, 促进城乡市场体系建设和发展；负责拟订促进全市流通产业发展的规范性文件和措施，协调推进全市流通领域法规的贯彻落实，推进全市流通产业发展；牵头协调全市物流业转型发展工作。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7.</w:t>
      </w:r>
      <w:r>
        <w:rPr>
          <w:rFonts w:hint="eastAsia" w:ascii="仿宋_GB2312" w:hAnsi="宋体" w:eastAsia="仿宋_GB2312" w:cs="宋体"/>
          <w:kern w:val="0"/>
          <w:sz w:val="32"/>
          <w:szCs w:val="32"/>
          <w:highlight w:val="none"/>
          <w:lang w:eastAsia="zh-CN"/>
        </w:rPr>
        <w:t>组织实施全市重要消费品市场调控、重要生产资料流通管理工作，负责建立健全生活必需品市场供应应急管理机制,监测分析市场运行、商品供求状况;依法对有关特殊流通行业和散装水泥推广应用进行监督管理；按有关规定对成品油流通进行管理。</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8.</w:t>
      </w:r>
      <w:r>
        <w:rPr>
          <w:rFonts w:hint="eastAsia" w:ascii="仿宋_GB2312" w:hAnsi="宋体" w:eastAsia="仿宋_GB2312" w:cs="宋体"/>
          <w:kern w:val="0"/>
          <w:sz w:val="32"/>
          <w:szCs w:val="32"/>
          <w:highlight w:val="none"/>
          <w:lang w:eastAsia="zh-CN"/>
        </w:rPr>
        <w:t>负责全市商品进出口管理工作,执行国家对外贸易、进出口管制以及鼓励技术和成套设备进出口政策;依法监督全市技术引进、国家限制出口技术工作；牵头负责全市外贸转型升级基地建设工作,指导贸易促进活动和外贸促进体系建设。</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lang w:eastAsia="zh-CN"/>
        </w:rPr>
        <w:t>拟订全市服务业、服务贸易发展意见并组织实施，会同有关部门制定全市促进服务进出口和服务外包发展规划、措施并组织实施,指导服务外包平台建设；依规对全市举办的经贸交流活动（含博览会、展销会、交易会和国际性会议等）进行管理，依规对市内举办的涉外经济技术展览会进行监管；负责商贸服务业务行业管理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10.</w:t>
      </w:r>
      <w:r>
        <w:rPr>
          <w:rFonts w:hint="eastAsia" w:ascii="仿宋_GB2312" w:hAnsi="宋体" w:eastAsia="仿宋_GB2312" w:cs="宋体"/>
          <w:kern w:val="0"/>
          <w:sz w:val="32"/>
          <w:szCs w:val="32"/>
          <w:highlight w:val="none"/>
          <w:lang w:eastAsia="zh-CN"/>
        </w:rPr>
        <w:t>拟订全市外商投资规范性文件和措施并组织实施；依法对外商投资事项进行监督管理；统筹规范对外招商引资活动；会同有关部门抓好投资环境治理工作，协调解决外商投资企业运行过程中的问题，依法受理、处理境内外投资者的建议和投诉等。</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11.</w:t>
      </w:r>
      <w:r>
        <w:rPr>
          <w:rFonts w:hint="eastAsia" w:ascii="仿宋_GB2312" w:hAnsi="宋体" w:eastAsia="仿宋_GB2312" w:cs="宋体"/>
          <w:kern w:val="0"/>
          <w:sz w:val="32"/>
          <w:szCs w:val="32"/>
          <w:highlight w:val="none"/>
          <w:lang w:eastAsia="zh-CN"/>
        </w:rPr>
        <w:t>牵头负责国内经济技术合作和区域性经贸交流活动；负责境内招商引资及统计工作。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12.</w:t>
      </w:r>
      <w:r>
        <w:rPr>
          <w:rFonts w:hint="eastAsia" w:ascii="仿宋_GB2312" w:hAnsi="宋体" w:eastAsia="仿宋_GB2312" w:cs="宋体"/>
          <w:kern w:val="0"/>
          <w:sz w:val="32"/>
          <w:szCs w:val="32"/>
          <w:highlight w:val="none"/>
          <w:lang w:eastAsia="zh-CN"/>
        </w:rPr>
        <w:t>拟订全市对外经济技术合作规范和措施并组织实施,依法管理和监督全市对外直接投资、对外承包工程、对外劳务合作业务,执行国家有关对外劳务合作管理政策,牵头负责外派劳务人员的权益保护工作。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13.</w:t>
      </w:r>
      <w:r>
        <w:rPr>
          <w:rFonts w:hint="eastAsia" w:ascii="仿宋_GB2312" w:hAnsi="宋体" w:eastAsia="仿宋_GB2312" w:cs="宋体"/>
          <w:kern w:val="0"/>
          <w:sz w:val="32"/>
          <w:szCs w:val="32"/>
          <w:highlight w:val="none"/>
          <w:lang w:eastAsia="zh-CN"/>
        </w:rPr>
        <w:t>负责全市国家级、省级经济技术开发区、综合保税区、出口加工区等的宏观管理、政策指导和工作协调。</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14.</w:t>
      </w:r>
      <w:r>
        <w:rPr>
          <w:rFonts w:hint="eastAsia" w:ascii="仿宋_GB2312" w:hAnsi="宋体" w:eastAsia="仿宋_GB2312" w:cs="宋体"/>
          <w:kern w:val="0"/>
          <w:sz w:val="32"/>
          <w:szCs w:val="32"/>
          <w:highlight w:val="none"/>
          <w:lang w:eastAsia="zh-CN"/>
        </w:rPr>
        <w:t>拟订全市电子商务发展意见和措施并组织实施,大力拓展和深化电子商务应用;组织实施全市电子商务行业规范和标准,推动电子商务服务体系建设,建立电子商务统计和评价体系;规范电子商务经营行为和流通秩序。</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15.</w:t>
      </w:r>
      <w:r>
        <w:rPr>
          <w:rFonts w:hint="eastAsia" w:ascii="仿宋_GB2312" w:hAnsi="宋体" w:eastAsia="仿宋_GB2312" w:cs="宋体"/>
          <w:kern w:val="0"/>
          <w:sz w:val="32"/>
          <w:szCs w:val="32"/>
          <w:highlight w:val="none"/>
          <w:lang w:eastAsia="zh-CN"/>
        </w:rPr>
        <w:t>负责全市因公出国（境）经贸团组申报工作。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16.</w:t>
      </w:r>
      <w:r>
        <w:rPr>
          <w:rFonts w:hint="eastAsia" w:ascii="仿宋_GB2312" w:hAnsi="宋体" w:eastAsia="仿宋_GB2312" w:cs="宋体"/>
          <w:kern w:val="0"/>
          <w:sz w:val="32"/>
          <w:szCs w:val="32"/>
          <w:highlight w:val="none"/>
          <w:lang w:eastAsia="zh-CN"/>
        </w:rPr>
        <w:t>负责全市口岸建设管理工作。</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17.</w:t>
      </w:r>
      <w:r>
        <w:rPr>
          <w:rFonts w:hint="eastAsia" w:ascii="仿宋_GB2312" w:hAnsi="宋体" w:eastAsia="仿宋_GB2312" w:cs="宋体"/>
          <w:kern w:val="0"/>
          <w:sz w:val="32"/>
          <w:szCs w:val="32"/>
          <w:highlight w:val="none"/>
          <w:lang w:eastAsia="zh-CN"/>
        </w:rPr>
        <w:t>承办市委、市政府交办的其他任务。</w:t>
      </w:r>
    </w:p>
    <w:p>
      <w:pPr>
        <w:spacing w:line="360" w:lineRule="auto"/>
        <w:rPr>
          <w:rFonts w:hint="eastAsia" w:ascii="仿宋_GB2312" w:hAnsi="仿宋_GB2312" w:eastAsia="仿宋_GB2312" w:cs="仿宋_GB2312"/>
          <w:b/>
          <w:bCs/>
          <w:color w:val="000000"/>
          <w:sz w:val="32"/>
          <w:szCs w:val="32"/>
          <w:highlight w:val="none"/>
          <w:shd w:val="clear" w:color="auto" w:fill="FFFFFF"/>
          <w:lang w:eastAsia="zh-CN"/>
        </w:rPr>
      </w:pPr>
      <w:r>
        <w:rPr>
          <w:rFonts w:hint="eastAsia" w:ascii="仿宋_GB2312" w:hAnsi="仿宋_GB2312" w:eastAsia="仿宋_GB2312" w:cs="仿宋_GB2312"/>
          <w:b/>
          <w:bCs/>
          <w:color w:val="000000"/>
          <w:sz w:val="32"/>
          <w:szCs w:val="32"/>
          <w:highlight w:val="none"/>
          <w:shd w:val="clear" w:color="auto" w:fill="FFFFFF"/>
          <w:lang w:val="en-US" w:eastAsia="zh-CN"/>
        </w:rPr>
        <w:t xml:space="preserve">   </w:t>
      </w:r>
      <w:r>
        <w:rPr>
          <w:rFonts w:hint="eastAsia" w:ascii="仿宋_GB2312" w:hAnsi="仿宋_GB2312" w:eastAsia="仿宋_GB2312" w:cs="仿宋_GB2312"/>
          <w:b/>
          <w:bCs/>
          <w:color w:val="000000"/>
          <w:sz w:val="32"/>
          <w:szCs w:val="32"/>
          <w:highlight w:val="none"/>
          <w:shd w:val="clear" w:color="auto" w:fill="FFFFFF"/>
          <w:lang w:eastAsia="zh-CN"/>
        </w:rPr>
        <w:t>（二）许昌市贸促会基本情况的主要职责</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开展同世界各国、各地区经济贸易界、商协会和其他经贸团体以及有关国际组织的联络工作；邀请和接待外国经济贸易界人士和代表团、组来访；组织本市经济贸易、技术代表团、企业家代表团、商会代表团出国访问、考察和洽谈；组织参加或与外国相应机构联合召开有关经济贸易技术合作方面的国际会议。</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代表市政府赴国（境）外主办展览会和参加展（博）览会；负责全市赴国外举办或参加展（博）览会的归口、协调、审批、上报以及相关的管理、监督工作。</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安排和接待国（境）外来许举办的经济贸易与技术展览会。</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承办本市经济贸易活动中相关事项的法律咨询和承担法律顾问工作；受理经济贸易纠纷的调解、代理仲裁和诉讼；承办有关工业产权和知识产权的咨询、争议及技术贸易的代理；办理国（境）外与本市有关反倾销事务的调查、代理；代理本市企业国（境）外企业及个人办理商标注册和专利申请；国际质量认证咨询及代理；向国内外公司、企业提供资信调查业务。</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出具中华人民共和国出口货物原产地证明书、认证涉外商业单据；代办外贸单证领事认证。</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开展国内外经济调查研究和经济贸易信息的收集、整理、传递和发布工作；向国内外有关企业和机构提供经济技术和贸易方面的信息和咨询服务；为国内外经贸活动提供电子商务服务。</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联系、组织外经贸界的经济技术和商务交流活动；为政府和企业引进外资、引进先进技术、开展经贸学术交流、人才交流、出国劳务提供咨询服务。</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指导、协调本市分支机构的工作；负责对各分支机构及会员的服务、培训工作。</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承办市政府和中国国际贸易促进委员会（中国国际商会）交办的其他事宜。</w:t>
      </w:r>
    </w:p>
    <w:p>
      <w:pPr>
        <w:keepNext w:val="0"/>
        <w:keepLines w:val="0"/>
        <w:pageBreakBefore w:val="0"/>
        <w:numPr>
          <w:ilvl w:val="0"/>
          <w:numId w:val="0"/>
        </w:numPr>
        <w:kinsoku/>
        <w:wordWrap/>
        <w:overflowPunct/>
        <w:topLinePunct w:val="0"/>
        <w:autoSpaceDE/>
        <w:bidi w:val="0"/>
        <w:spacing w:before="0" w:beforeLines="0" w:after="0" w:afterLines="0" w:line="360" w:lineRule="auto"/>
        <w:ind w:right="0" w:rightChars="0"/>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（三）许昌市12312商务举报投诉中心的主要职责</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接收社会公众对成品油市场、再生资源回收、汽车品牌销售监管、直销、特许经营、零售商促销、零供交易、商业预付卡、报废汽车回收、二手车交易、技术进出口、对外劳务合作、对外承包工程等扰乱市场秩序和侵犯知识产权的举报投诉。</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提供商务领域有关法律法规等文件、外商投诉、外派劳务以及行政审批、办事程序等方面的咨询服务，搭建商务局与社会公众沟通交流的服务平台。</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统计、上报举报投诉信息和商务执法数据。</w:t>
      </w:r>
    </w:p>
    <w:p>
      <w:pPr>
        <w:spacing w:line="600" w:lineRule="exact"/>
        <w:rPr>
          <w:rFonts w:hint="eastAsia" w:ascii="仿宋_GB2312" w:hAnsi="仿宋_GB2312" w:eastAsia="仿宋_GB2312" w:cs="仿宋_GB2312"/>
          <w:b/>
          <w:bCs/>
          <w:sz w:val="32"/>
          <w:szCs w:val="32"/>
          <w:highlight w:val="none"/>
          <w:lang w:val="en-US" w:eastAsia="zh-CN"/>
        </w:rPr>
      </w:pPr>
      <w:r>
        <w:rPr>
          <w:rFonts w:hint="eastAsia" w:ascii="仿宋" w:hAnsi="仿宋" w:eastAsia="仿宋"/>
          <w:b/>
          <w:bCs/>
          <w:sz w:val="32"/>
          <w:szCs w:val="32"/>
          <w:highlight w:val="none"/>
          <w:lang w:val="en-US" w:eastAsia="zh-CN"/>
        </w:rPr>
        <w:t xml:space="preserve">    </w:t>
      </w:r>
      <w:r>
        <w:rPr>
          <w:rFonts w:hint="eastAsia" w:ascii="仿宋" w:hAnsi="仿宋" w:eastAsia="仿宋"/>
          <w:b/>
          <w:bCs/>
          <w:sz w:val="32"/>
          <w:szCs w:val="32"/>
          <w:highlight w:val="none"/>
          <w:lang w:eastAsia="zh-CN"/>
        </w:rPr>
        <w:t>（四）</w:t>
      </w:r>
      <w:r>
        <w:rPr>
          <w:rFonts w:hint="eastAsia" w:ascii="仿宋_GB2312" w:hAnsi="仿宋_GB2312" w:eastAsia="仿宋_GB2312" w:cs="仿宋_GB2312"/>
          <w:b/>
          <w:bCs/>
          <w:sz w:val="32"/>
          <w:szCs w:val="32"/>
          <w:highlight w:val="none"/>
          <w:lang w:val="en-US" w:eastAsia="zh-CN"/>
        </w:rPr>
        <w:t>许昌市对外服务中心的主要职责</w:t>
      </w:r>
    </w:p>
    <w:p>
      <w:pPr>
        <w:numPr>
          <w:ilvl w:val="0"/>
          <w:numId w:val="0"/>
        </w:numPr>
        <w:spacing w:line="360" w:lineRule="auto"/>
        <w:ind w:left="0" w:leftChars="0" w:firstLine="0" w:firstLineChars="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1、</w:t>
      </w:r>
      <w:r>
        <w:rPr>
          <w:rFonts w:hint="eastAsia" w:ascii="仿宋_GB2312" w:hAnsi="仿宋_GB2312" w:eastAsia="仿宋_GB2312" w:cs="仿宋_GB2312"/>
          <w:sz w:val="32"/>
          <w:szCs w:val="32"/>
          <w:highlight w:val="none"/>
        </w:rPr>
        <w:t>协助许昌海关（原许昌出入境检验检疫局）维护国门质量生态健康安全。加强进出口商品质量安全监管，严把质量关，加强国门生物安全防御。</w:t>
      </w:r>
    </w:p>
    <w:p>
      <w:pPr>
        <w:numPr>
          <w:ilvl w:val="0"/>
          <w:numId w:val="0"/>
        </w:numPr>
        <w:spacing w:line="360" w:lineRule="auto"/>
        <w:ind w:left="0" w:leftChars="0" w:firstLine="0" w:firstLineChars="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2、</w:t>
      </w:r>
      <w:r>
        <w:rPr>
          <w:rFonts w:hint="eastAsia" w:ascii="仿宋_GB2312" w:hAnsi="仿宋_GB2312" w:eastAsia="仿宋_GB2312" w:cs="仿宋_GB2312"/>
          <w:sz w:val="32"/>
          <w:szCs w:val="32"/>
          <w:highlight w:val="none"/>
        </w:rPr>
        <w:t>提升我市贸易便利化水平。全面开展“三通两直”一体化通关业务，开通商检“两证合一”，推广无纸化申报和签证等措施，为外贸企业节约时间和成本。</w:t>
      </w:r>
    </w:p>
    <w:p>
      <w:pPr>
        <w:numPr>
          <w:ilvl w:val="0"/>
          <w:numId w:val="0"/>
        </w:numPr>
        <w:spacing w:line="360" w:lineRule="auto"/>
        <w:ind w:left="0" w:leftChars="0" w:firstLine="419" w:firstLineChars="131"/>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3、</w:t>
      </w:r>
      <w:r>
        <w:rPr>
          <w:rFonts w:hint="eastAsia" w:ascii="仿宋_GB2312" w:hAnsi="仿宋_GB2312" w:eastAsia="仿宋_GB2312" w:cs="仿宋_GB2312"/>
          <w:sz w:val="32"/>
          <w:szCs w:val="32"/>
          <w:highlight w:val="none"/>
        </w:rPr>
        <w:t>推动传统优势产业提质增效。通过推广先进国家技术法规、标准及认证认可措施，倒逼许昌特色产业改进生产工艺，打造质量安全示范区，优化企业管理和出口产品结构。</w:t>
      </w:r>
    </w:p>
    <w:p>
      <w:pPr>
        <w:keepNext w:val="0"/>
        <w:keepLines w:val="0"/>
        <w:pageBreakBefore w:val="0"/>
        <w:numPr>
          <w:ilvl w:val="0"/>
          <w:numId w:val="0"/>
        </w:numPr>
        <w:kinsoku/>
        <w:wordWrap/>
        <w:overflowPunct/>
        <w:topLinePunct w:val="0"/>
        <w:autoSpaceDE/>
        <w:bidi w:val="0"/>
        <w:spacing w:before="0" w:beforeLines="0" w:after="0" w:afterLines="0" w:line="360" w:lineRule="auto"/>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助推许昌外贸企业“走出去”。深入落实“倍增计划”“一县一品”战略实施，积极宣传原产地证等优惠政策，助推“许昌制造”走向世界。打造内陆开放新高地。着力推动许昌大通关平台建设，积极为许昌进口粮食口岸、进境肉制品、水产品查验场区、进境种禽苗木查验厂区、出口跨境电商产业园区建设建言献策，为许昌口岸建设打下坚实基础。</w:t>
      </w:r>
    </w:p>
    <w:p>
      <w:pPr>
        <w:keepNext w:val="0"/>
        <w:keepLines w:val="0"/>
        <w:pageBreakBefore w:val="0"/>
        <w:numPr>
          <w:ilvl w:val="0"/>
          <w:numId w:val="0"/>
        </w:numPr>
        <w:kinsoku/>
        <w:wordWrap/>
        <w:overflowPunct/>
        <w:topLinePunct w:val="0"/>
        <w:autoSpaceDE/>
        <w:bidi w:val="0"/>
        <w:spacing w:before="0" w:beforeLines="0" w:after="0" w:afterLines="0" w:line="360" w:lineRule="auto"/>
        <w:ind w:right="0" w:rightChars="0" w:firstLine="643" w:firstLineChars="200"/>
        <w:textAlignment w:val="auto"/>
        <w:outlineLvl w:val="9"/>
        <w:rPr>
          <w:rFonts w:hint="eastAsia" w:ascii="仿宋_GB2312" w:hAnsi="宋体" w:eastAsia="仿宋_GB2312" w:cs="宋体"/>
          <w:kern w:val="0"/>
          <w:sz w:val="32"/>
          <w:szCs w:val="32"/>
          <w:highlight w:val="none"/>
          <w:lang w:eastAsia="zh-CN"/>
        </w:rPr>
      </w:pPr>
      <w:r>
        <w:rPr>
          <w:rFonts w:hint="eastAsia" w:ascii="仿宋_GB2312" w:hAnsi="仿宋_GB2312" w:eastAsia="仿宋_GB2312" w:cs="仿宋_GB2312"/>
          <w:b/>
          <w:bCs/>
          <w:sz w:val="32"/>
          <w:szCs w:val="32"/>
          <w:highlight w:val="none"/>
          <w:lang w:val="en-US" w:eastAsia="zh-CN"/>
        </w:rPr>
        <w:t>（五）许昌市商务稽查支队的主要职责</w:t>
      </w:r>
      <w:r>
        <w:rPr>
          <w:rFonts w:hint="eastAsia" w:ascii="仿宋_GB2312" w:eastAsia="仿宋_GB2312"/>
          <w:sz w:val="32"/>
          <w:szCs w:val="32"/>
          <w:highlight w:val="none"/>
        </w:rPr>
        <w:t>为维护市场流通秩序提供管理保障，</w:t>
      </w:r>
      <w:r>
        <w:rPr>
          <w:rFonts w:hint="eastAsia" w:ascii="仿宋_GB2312" w:hAnsi="宋体" w:eastAsia="仿宋_GB2312" w:cs="宋体"/>
          <w:kern w:val="0"/>
          <w:sz w:val="32"/>
          <w:szCs w:val="32"/>
          <w:highlight w:val="none"/>
          <w:lang w:eastAsia="zh-CN"/>
        </w:rPr>
        <w:t>负责商务领域的行政综合执法工作。</w:t>
      </w:r>
    </w:p>
    <w:p>
      <w:pPr>
        <w:widowControl/>
        <w:ind w:firstLine="643" w:firstLineChars="200"/>
        <w:jc w:val="left"/>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b/>
          <w:bCs/>
          <w:color w:val="000000"/>
          <w:sz w:val="32"/>
          <w:szCs w:val="32"/>
          <w:highlight w:val="none"/>
          <w:shd w:val="clear" w:color="auto" w:fill="FFFFFF"/>
          <w:lang w:eastAsia="zh-CN"/>
        </w:rPr>
        <w:t>（六）</w:t>
      </w:r>
      <w:r>
        <w:rPr>
          <w:rFonts w:hint="eastAsia" w:ascii="仿宋_GB2312" w:hAnsi="仿宋_GB2312" w:eastAsia="仿宋_GB2312" w:cs="仿宋_GB2312"/>
          <w:b/>
          <w:bCs/>
          <w:sz w:val="32"/>
          <w:szCs w:val="32"/>
          <w:highlight w:val="none"/>
          <w:lang w:val="en-US" w:eastAsia="zh-CN"/>
        </w:rPr>
        <w:t>许昌市散装水泥办公室</w:t>
      </w:r>
      <w:r>
        <w:rPr>
          <w:rFonts w:hint="eastAsia" w:ascii="仿宋_GB2312" w:hAnsi="仿宋_GB2312" w:eastAsia="仿宋_GB2312" w:cs="仿宋_GB2312"/>
          <w:color w:val="333333"/>
          <w:sz w:val="32"/>
          <w:szCs w:val="32"/>
          <w:highlight w:val="none"/>
          <w:shd w:val="clear" w:color="auto" w:fill="FFFFFF"/>
        </w:rPr>
        <w:t>组织实施发展散装水泥的法律、法规、规章和政策；根本政府工作目标编制本地发展散装水泥规划和年度计划，并组织实施；按规定征收、管理、使用散装水泥专项资金；负责散装水泥工作的信息交流、宣传教育、专业培训和新技术、新工艺、新设备的推广应用；会同有关部门做好预拌混凝土、预拌砂浆的推广应用；协调解决发展散装水泥工作中出现的问题。 </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商务局内设机构14个，包括：办公室（政务服务科）、人事科、流通业发展科、市场体系建设科、市场运行和消费促进科、市场秩序科（许昌市药品流通服务办公室）、电子商务办公室、对外贸易科(许昌市机电产品进出口办公室)、服务贸易和会展业科、外商投资管理科、对外投资和经济合作科、对外开放服务办公室(许昌市人民政府外商台商投诉权益保护中心)、物流业发展科、口岸办公室（许昌市人民政府口岸办公室）。另设有机关党委和离退休干部工作科。</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本决算为汇总决算，</w:t>
      </w:r>
      <w:bookmarkStart w:id="0" w:name="_GoBack"/>
      <w:bookmarkEnd w:id="0"/>
      <w:r>
        <w:rPr>
          <w:rFonts w:hint="eastAsia" w:ascii="仿宋_GB2312" w:hAnsi="仿宋_GB2312" w:eastAsia="仿宋_GB2312" w:cs="仿宋_GB2312"/>
          <w:color w:val="auto"/>
          <w:kern w:val="0"/>
          <w:sz w:val="32"/>
          <w:szCs w:val="32"/>
          <w:highlight w:val="none"/>
          <w:lang w:val="en-US" w:eastAsia="zh-CN"/>
        </w:rPr>
        <w:t>从决算单位构成看，许昌市商务局部门决算包括：本级决算、所属事业单位决算。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纳入本部门2018年度部门决算编制范围的单位共6个，其中二级预算单位6个，具体是：</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1.许昌市商务局（本级）</w:t>
      </w:r>
    </w:p>
    <w:p>
      <w:pPr>
        <w:widowControl/>
        <w:spacing w:line="360" w:lineRule="auto"/>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sz w:val="32"/>
          <w:szCs w:val="32"/>
          <w:highlight w:val="none"/>
          <w:lang w:val="en-US" w:eastAsia="zh-CN"/>
        </w:rPr>
        <w:t>许昌市贸促会</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3、许昌市12312商务举报投诉中心</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4、许昌市对外开放服务中心</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5、许昌市商务稽查支队</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640" w:firstLineChars="200"/>
        <w:jc w:val="both"/>
        <w:textAlignment w:val="auto"/>
        <w:outlineLvl w:val="9"/>
        <w:rPr>
          <w:rFonts w:ascii="黑体" w:hAnsi="黑体" w:eastAsia="黑体" w:cs="黑体"/>
          <w:sz w:val="32"/>
          <w:szCs w:val="32"/>
          <w:highlight w:val="none"/>
        </w:rPr>
      </w:pPr>
      <w:r>
        <w:rPr>
          <w:rFonts w:hint="eastAsia" w:ascii="仿宋_GB2312" w:hAnsi="仿宋_GB2312" w:eastAsia="仿宋_GB2312" w:cs="仿宋_GB2312"/>
          <w:sz w:val="32"/>
          <w:szCs w:val="32"/>
          <w:highlight w:val="none"/>
          <w:lang w:val="en-US" w:eastAsia="zh-CN"/>
        </w:rPr>
        <w:t>6、许昌市散装水泥办公室</w:t>
      </w:r>
    </w:p>
    <w:p>
      <w:pPr>
        <w:numPr>
          <w:ilvl w:val="0"/>
          <w:numId w:val="0"/>
        </w:numPr>
        <w:spacing w:line="360" w:lineRule="auto"/>
        <w:rPr>
          <w:rFonts w:hint="eastAsia" w:ascii="仿宋_GB2312" w:hAnsi="仿宋_GB2312" w:eastAsia="仿宋_GB2312" w:cs="仿宋_GB2312"/>
          <w:color w:val="000000"/>
          <w:sz w:val="32"/>
          <w:szCs w:val="32"/>
          <w:highlight w:val="none"/>
          <w:shd w:val="clear" w:color="auto" w:fill="FFFFFF"/>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7"/>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6736.52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1764.97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九、医疗卫生与计划生育支出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十八、国土海洋气象等支出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二十一、其他支出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6736.52</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5710.83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5.50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891.65</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1922.84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26</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53</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b w:val="0"/>
                <w:bCs/>
                <w:i w:val="0"/>
                <w:color w:val="000000"/>
                <w:kern w:val="0"/>
                <w:sz w:val="20"/>
                <w:szCs w:val="20"/>
                <w:highlight w:val="none"/>
                <w:u w:val="none"/>
                <w:lang w:val="en-US" w:eastAsia="zh-CN" w:bidi="ar"/>
              </w:rPr>
              <w:t>27</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7633.66</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54</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7633.66</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r>
    </w:tbl>
    <w:tbl>
      <w:tblPr>
        <w:tblStyle w:val="7"/>
        <w:tblpPr w:leftFromText="180" w:rightFromText="180" w:vertAnchor="text" w:horzAnchor="page" w:tblpX="1400" w:tblpY="228"/>
        <w:tblOverlap w:val="never"/>
        <w:tblW w:w="13845" w:type="dxa"/>
        <w:tblInd w:w="0" w:type="dxa"/>
        <w:tblLayout w:type="fixed"/>
        <w:tblCellMar>
          <w:top w:w="0" w:type="dxa"/>
          <w:left w:w="0" w:type="dxa"/>
          <w:bottom w:w="0" w:type="dxa"/>
          <w:right w:w="0" w:type="dxa"/>
        </w:tblCellMar>
      </w:tblPr>
      <w:tblGrid>
        <w:gridCol w:w="1027"/>
        <w:gridCol w:w="59"/>
        <w:gridCol w:w="2664"/>
        <w:gridCol w:w="1380"/>
        <w:gridCol w:w="333"/>
        <w:gridCol w:w="1227"/>
        <w:gridCol w:w="326"/>
        <w:gridCol w:w="994"/>
        <w:gridCol w:w="559"/>
        <w:gridCol w:w="836"/>
        <w:gridCol w:w="717"/>
        <w:gridCol w:w="603"/>
        <w:gridCol w:w="950"/>
        <w:gridCol w:w="910"/>
        <w:gridCol w:w="1260"/>
      </w:tblGrid>
      <w:tr>
        <w:tblPrEx>
          <w:tblCellMar>
            <w:top w:w="0" w:type="dxa"/>
            <w:left w:w="0" w:type="dxa"/>
            <w:bottom w:w="0" w:type="dxa"/>
            <w:right w:w="0" w:type="dxa"/>
          </w:tblCellMar>
        </w:tblPrEx>
        <w:trPr>
          <w:trHeight w:val="435" w:hRule="atLeast"/>
        </w:trPr>
        <w:tc>
          <w:tcPr>
            <w:tcW w:w="13845"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6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8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公开02表</w:t>
            </w:r>
          </w:p>
        </w:tc>
      </w:tr>
      <w:tr>
        <w:tblPrEx>
          <w:tblCellMar>
            <w:top w:w="0" w:type="dxa"/>
            <w:left w:w="0" w:type="dxa"/>
            <w:bottom w:w="0" w:type="dxa"/>
            <w:right w:w="0" w:type="dxa"/>
          </w:tblCellMar>
        </w:tblPrEx>
        <w:trPr>
          <w:trHeight w:val="300" w:hRule="atLeast"/>
        </w:trPr>
        <w:tc>
          <w:tcPr>
            <w:tcW w:w="3750"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138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3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450" w:hRule="atLeast"/>
        </w:trPr>
        <w:tc>
          <w:tcPr>
            <w:tcW w:w="3750"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380"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本年收入合计</w:t>
            </w:r>
          </w:p>
        </w:tc>
        <w:tc>
          <w:tcPr>
            <w:tcW w:w="156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财政拨款收入</w:t>
            </w:r>
          </w:p>
        </w:tc>
        <w:tc>
          <w:tcPr>
            <w:tcW w:w="132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上级补助收入</w:t>
            </w:r>
          </w:p>
        </w:tc>
        <w:tc>
          <w:tcPr>
            <w:tcW w:w="139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事业收入</w:t>
            </w:r>
          </w:p>
        </w:tc>
        <w:tc>
          <w:tcPr>
            <w:tcW w:w="132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经营收入</w:t>
            </w:r>
          </w:p>
        </w:tc>
        <w:tc>
          <w:tcPr>
            <w:tcW w:w="18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附属单位上缴收入</w:t>
            </w:r>
          </w:p>
        </w:tc>
        <w:tc>
          <w:tcPr>
            <w:tcW w:w="1260"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2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38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6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80"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6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50" w:hRule="atLeast"/>
        </w:trPr>
        <w:tc>
          <w:tcPr>
            <w:tcW w:w="3750"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26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r>
      <w:tr>
        <w:tblPrEx>
          <w:tblCellMar>
            <w:top w:w="0" w:type="dxa"/>
            <w:left w:w="0" w:type="dxa"/>
            <w:bottom w:w="0" w:type="dxa"/>
            <w:right w:w="0" w:type="dxa"/>
          </w:tblCellMar>
        </w:tblPrEx>
        <w:trPr>
          <w:trHeight w:val="450" w:hRule="atLeast"/>
        </w:trPr>
        <w:tc>
          <w:tcPr>
            <w:tcW w:w="3750"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6736.52</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6736.52</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一般公共服务支出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1914.58</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1914.58</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商贸事务</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1914.58</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1914.58</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2011301</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行政运行</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899.46</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899.46</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2011302</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一般行政管理事务</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281.06</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281.06</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2011308</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招商引资</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142.12</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142.12</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2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2011350</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事业运行</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555.02</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555.02</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95"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2011399</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其他商贸事务支出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36.93</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36.93</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1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208</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社会保障和就业支出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391.93</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391.93</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38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20805</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行政事业单位离退休</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391.93</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391.93</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2080501</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归口管理的行政单位离退休</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353.57</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353.57</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2080502</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事业单位离退休</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38.36</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38.36</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212</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城乡社区支出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3500.00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21208</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国有土地使用权出让收入及对应专项债务收入安排的支出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华文中宋" w:hAnsi="华文中宋" w:eastAsia="华文中宋" w:cs="华文中宋"/>
                <w:i w:val="0"/>
                <w:color w:val="000000"/>
                <w:sz w:val="20"/>
                <w:szCs w:val="20"/>
                <w:highlight w:val="none"/>
                <w:u w:val="none"/>
                <w:lang w:val="en-US" w:eastAsia="zh-CN"/>
              </w:rPr>
            </w:pPr>
            <w:r>
              <w:rPr>
                <w:rFonts w:hint="eastAsia" w:ascii="华文中宋" w:hAnsi="华文中宋" w:eastAsia="华文中宋" w:cs="华文中宋"/>
                <w:i w:val="0"/>
                <w:color w:val="000000"/>
                <w:sz w:val="20"/>
                <w:szCs w:val="20"/>
                <w:highlight w:val="none"/>
                <w:u w:val="none"/>
                <w:lang w:val="en-US" w:eastAsia="zh-CN"/>
              </w:rPr>
              <w:t>3500.00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华文中宋" w:hAnsi="华文中宋" w:eastAsia="华文中宋" w:cs="华文中宋"/>
                <w:i w:val="0"/>
                <w:color w:val="000000"/>
                <w:sz w:val="20"/>
                <w:szCs w:val="20"/>
                <w:highlight w:val="none"/>
                <w:u w:val="none"/>
                <w:lang w:val="en-US" w:eastAsia="zh-CN"/>
              </w:rPr>
              <w:t>3500.00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2120899</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其他国有土地使用权出让收入安排的支出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3500.00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216</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商业服务业等支出</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930.00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930.00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21602</w:t>
            </w:r>
          </w:p>
        </w:tc>
        <w:tc>
          <w:tcPr>
            <w:tcW w:w="2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商业流通事务</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930.00</w:t>
            </w:r>
          </w:p>
        </w:tc>
        <w:tc>
          <w:tcPr>
            <w:tcW w:w="1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930.00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20"/>
                <w:szCs w:val="20"/>
                <w:highlight w:val="none"/>
                <w:u w:val="none"/>
              </w:rPr>
            </w:pPr>
            <w:r>
              <w:rPr>
                <w:rFonts w:hint="default" w:ascii="宋体" w:hAnsi="宋体" w:eastAsia="宋体"/>
                <w:b w:val="0"/>
                <w:i w:val="0"/>
                <w:snapToGrid/>
                <w:color w:val="000000"/>
                <w:sz w:val="20"/>
                <w:szCs w:val="20"/>
                <w:highlight w:val="none"/>
                <w:u w:val="none"/>
                <w:lang w:eastAsia="zh-CN"/>
              </w:rPr>
              <w:t>2160299</w:t>
            </w:r>
          </w:p>
        </w:tc>
        <w:tc>
          <w:tcPr>
            <w:tcW w:w="266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insoku/>
              <w:autoSpaceDE/>
              <w:autoSpaceDN w:val="0"/>
              <w:jc w:val="left"/>
              <w:textAlignment w:val="center"/>
              <w:rPr>
                <w:rFonts w:hint="eastAsia" w:ascii="宋体" w:hAnsi="宋体" w:eastAsia="宋体" w:cs="宋体"/>
                <w:i w:val="0"/>
                <w:color w:val="000000"/>
                <w:sz w:val="18"/>
                <w:szCs w:val="18"/>
                <w:highlight w:val="none"/>
                <w:u w:val="none"/>
              </w:rPr>
            </w:pPr>
            <w:r>
              <w:rPr>
                <w:rFonts w:hint="default" w:ascii="宋体" w:hAnsi="宋体" w:eastAsia="宋体"/>
                <w:b w:val="0"/>
                <w:i w:val="0"/>
                <w:snapToGrid/>
                <w:color w:val="000000"/>
                <w:sz w:val="18"/>
                <w:szCs w:val="18"/>
                <w:highlight w:val="none"/>
                <w:u w:val="none"/>
                <w:lang w:eastAsia="zh-CN"/>
              </w:rPr>
              <w:t xml:space="preserve">  其他商业流通事务支出</w:t>
            </w:r>
          </w:p>
        </w:tc>
        <w:tc>
          <w:tcPr>
            <w:tcW w:w="138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930.00</w:t>
            </w:r>
          </w:p>
        </w:tc>
        <w:tc>
          <w:tcPr>
            <w:tcW w:w="15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insoku/>
              <w:autoSpaceDE/>
              <w:autoSpaceDN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930.00</w:t>
            </w:r>
          </w:p>
        </w:tc>
        <w:tc>
          <w:tcPr>
            <w:tcW w:w="132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9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2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8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6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注：本表反映部门本年度取得的各项收入情况。本表金额转换为万元时，因四舍五入可能存在尾差。</w:t>
            </w:r>
          </w:p>
        </w:tc>
      </w:tr>
    </w:tbl>
    <w:tbl>
      <w:tblPr>
        <w:tblStyle w:val="7"/>
        <w:tblW w:w="14078" w:type="dxa"/>
        <w:tblInd w:w="0" w:type="dxa"/>
        <w:tblLayout w:type="fixed"/>
        <w:tblCellMar>
          <w:top w:w="0" w:type="dxa"/>
          <w:left w:w="0" w:type="dxa"/>
          <w:bottom w:w="0" w:type="dxa"/>
          <w:right w:w="0" w:type="dxa"/>
        </w:tblCellMar>
      </w:tblPr>
      <w:tblGrid>
        <w:gridCol w:w="1120"/>
        <w:gridCol w:w="63"/>
        <w:gridCol w:w="27"/>
        <w:gridCol w:w="3123"/>
        <w:gridCol w:w="90"/>
        <w:gridCol w:w="1536"/>
        <w:gridCol w:w="266"/>
        <w:gridCol w:w="1264"/>
        <w:gridCol w:w="537"/>
        <w:gridCol w:w="948"/>
        <w:gridCol w:w="854"/>
        <w:gridCol w:w="886"/>
        <w:gridCol w:w="915"/>
        <w:gridCol w:w="450"/>
        <w:gridCol w:w="1909"/>
        <w:gridCol w:w="90"/>
      </w:tblGrid>
      <w:tr>
        <w:tblPrEx>
          <w:tblCellMar>
            <w:top w:w="0" w:type="dxa"/>
            <w:left w:w="0" w:type="dxa"/>
            <w:bottom w:w="0" w:type="dxa"/>
            <w:right w:w="0" w:type="dxa"/>
          </w:tblCellMar>
        </w:tblPrEx>
        <w:trPr>
          <w:gridAfter w:val="1"/>
          <w:wAfter w:w="90" w:type="dxa"/>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1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公开03表</w:t>
            </w:r>
          </w:p>
        </w:tc>
      </w:tr>
      <w:tr>
        <w:tblPrEx>
          <w:tblCellMar>
            <w:top w:w="0" w:type="dxa"/>
            <w:left w:w="0" w:type="dxa"/>
            <w:bottom w:w="0" w:type="dxa"/>
            <w:right w:w="0" w:type="dxa"/>
          </w:tblCellMar>
        </w:tblPrEx>
        <w:trPr>
          <w:trHeight w:val="300" w:hRule="atLeast"/>
        </w:trPr>
        <w:tc>
          <w:tcPr>
            <w:tcW w:w="4333"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9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gridAfter w:val="1"/>
          <w:wAfter w:w="90" w:type="dxa"/>
          <w:trHeight w:val="450" w:hRule="atLeast"/>
        </w:trPr>
        <w:tc>
          <w:tcPr>
            <w:tcW w:w="4333"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62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本年支出合计</w:t>
            </w:r>
          </w:p>
        </w:tc>
        <w:tc>
          <w:tcPr>
            <w:tcW w:w="153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48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74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上缴上级支出</w:t>
            </w:r>
          </w:p>
        </w:tc>
        <w:tc>
          <w:tcPr>
            <w:tcW w:w="136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对附属单位补助支出</w:t>
            </w:r>
          </w:p>
        </w:tc>
      </w:tr>
      <w:tr>
        <w:tblPrEx>
          <w:tblCellMar>
            <w:top w:w="0" w:type="dxa"/>
            <w:left w:w="0" w:type="dxa"/>
            <w:bottom w:w="0" w:type="dxa"/>
            <w:right w:w="0" w:type="dxa"/>
          </w:tblCellMar>
        </w:tblPrEx>
        <w:trPr>
          <w:gridAfter w:val="1"/>
          <w:wAfter w:w="90" w:type="dxa"/>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1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6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90" w:type="dxa"/>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1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3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4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90" w:type="dxa"/>
          <w:trHeight w:val="450" w:hRule="atLeast"/>
        </w:trPr>
        <w:tc>
          <w:tcPr>
            <w:tcW w:w="4333"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62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CellMar>
            <w:top w:w="0" w:type="dxa"/>
            <w:left w:w="0" w:type="dxa"/>
            <w:bottom w:w="0" w:type="dxa"/>
            <w:right w:w="0" w:type="dxa"/>
          </w:tblCellMar>
        </w:tblPrEx>
        <w:trPr>
          <w:gridAfter w:val="1"/>
          <w:wAfter w:w="90" w:type="dxa"/>
          <w:trHeight w:val="450" w:hRule="atLeast"/>
        </w:trPr>
        <w:tc>
          <w:tcPr>
            <w:tcW w:w="4333"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5710.83</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1764.36</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3946.46</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一般公共服务支出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1764.97</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1377.64</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387.33</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商贸事务</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1764.97</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1377.64</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387.33</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2011301</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行政运行</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818.60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818.60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2011302</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一般行政管理事务</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280.11</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280.11</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2011308</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招商引资</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106.98</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106.98</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2011350</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事业运行</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513.01</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513.01</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2011399</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其他商贸事务支出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46.27</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46.02</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0.25</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社会保障和就业支出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20805</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行政事业单位离退休</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2080501</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归口管理的行政单位离退休</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348.49</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348.49</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82"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2080502</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事业单位离退休</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38.23</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38.23</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82"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节能环保支出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21103</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污染防治</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2110301</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大气</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212</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城乡社区支出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21208</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国有土地使用权出让收入及对应专项债务收入安排的支出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35300.00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2120899</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其他国有土地使用权出让收入安排的支出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商业服务业等支出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21602</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商业流通事务</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2160299</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其它商业流通事务支出</w:t>
            </w:r>
          </w:p>
        </w:tc>
        <w:tc>
          <w:tcPr>
            <w:tcW w:w="1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57.13</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1"/>
          <w:wAfter w:w="90" w:type="dxa"/>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8" w:type="dxa"/>
        <w:tblInd w:w="0" w:type="dxa"/>
        <w:tblLayout w:type="fixed"/>
        <w:tblCellMar>
          <w:top w:w="0" w:type="dxa"/>
          <w:left w:w="0" w:type="dxa"/>
          <w:bottom w:w="0" w:type="dxa"/>
          <w:right w:w="0" w:type="dxa"/>
        </w:tblCellMar>
      </w:tblPr>
      <w:tblGrid>
        <w:gridCol w:w="3994"/>
        <w:gridCol w:w="720"/>
        <w:gridCol w:w="1210"/>
        <w:gridCol w:w="2900"/>
        <w:gridCol w:w="500"/>
        <w:gridCol w:w="145"/>
        <w:gridCol w:w="452"/>
        <w:gridCol w:w="708"/>
        <w:gridCol w:w="130"/>
        <w:gridCol w:w="1213"/>
        <w:gridCol w:w="336"/>
        <w:gridCol w:w="1680"/>
      </w:tblGrid>
      <w:tr>
        <w:tblPrEx>
          <w:tblCellMar>
            <w:top w:w="0" w:type="dxa"/>
            <w:left w:w="0" w:type="dxa"/>
            <w:bottom w:w="0" w:type="dxa"/>
            <w:right w:w="0" w:type="dxa"/>
          </w:tblCellMar>
        </w:tblPrEx>
        <w:trPr>
          <w:trHeight w:val="360" w:hRule="atLeast"/>
        </w:trPr>
        <w:tc>
          <w:tcPr>
            <w:tcW w:w="1398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8064" w:type="dxa"/>
            <w:gridSpan w:val="9"/>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5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3236.52</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1759.47</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1759.47</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29</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31</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七、文化体育与传媒支出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八、社会保障和就业支出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35</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九、医疗卫生与计划生育支出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十、节能环保支出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37</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十一、城乡社区支出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十二、农林水支出</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39</w:t>
            </w:r>
          </w:p>
        </w:tc>
        <w:tc>
          <w:tcPr>
            <w:tcW w:w="1290"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十三、交通运输支出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十四、资源勘探信息等支出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十五、商业服务业等支出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42</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52.06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十六、金融支出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43</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十七、援助其他地区支出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44</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十八、国土海洋气象等支出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45</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十九、住房保障支出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46</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sz w:val="20"/>
                <w:szCs w:val="20"/>
                <w:highlight w:val="none"/>
              </w:rPr>
              <w:t>二十、粮油物资储备支出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47</w:t>
            </w:r>
          </w:p>
        </w:tc>
        <w:tc>
          <w:tcPr>
            <w:tcW w:w="838"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sz w:val="20"/>
                <w:szCs w:val="20"/>
                <w:highlight w:val="none"/>
              </w:rPr>
              <w:t>二十一、其他支出</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48</w:t>
            </w:r>
          </w:p>
        </w:tc>
        <w:tc>
          <w:tcPr>
            <w:tcW w:w="838"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6736.52</w:t>
            </w:r>
          </w:p>
        </w:tc>
        <w:tc>
          <w:tcPr>
            <w:tcW w:w="3400"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49</w:t>
            </w:r>
          </w:p>
        </w:tc>
        <w:tc>
          <w:tcPr>
            <w:tcW w:w="838"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2200.25</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875.01</w:t>
            </w:r>
          </w:p>
        </w:tc>
        <w:tc>
          <w:tcPr>
            <w:tcW w:w="3400"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年末财政拨款结转和结余</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50</w:t>
            </w:r>
          </w:p>
        </w:tc>
        <w:tc>
          <w:tcPr>
            <w:tcW w:w="838"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1911.27</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1911.23</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874.96</w:t>
            </w:r>
          </w:p>
        </w:tc>
        <w:tc>
          <w:tcPr>
            <w:tcW w:w="3400" w:type="dxa"/>
            <w:gridSpan w:val="2"/>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51</w:t>
            </w:r>
          </w:p>
        </w:tc>
        <w:tc>
          <w:tcPr>
            <w:tcW w:w="838"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3400" w:type="dxa"/>
            <w:gridSpan w:val="2"/>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w:t>
            </w:r>
          </w:p>
        </w:tc>
        <w:tc>
          <w:tcPr>
            <w:tcW w:w="838"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00" w:type="dxa"/>
            <w:gridSpan w:val="2"/>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53</w:t>
            </w:r>
          </w:p>
        </w:tc>
        <w:tc>
          <w:tcPr>
            <w:tcW w:w="838"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7611.52</w:t>
            </w:r>
          </w:p>
        </w:tc>
        <w:tc>
          <w:tcPr>
            <w:tcW w:w="3400" w:type="dxa"/>
            <w:gridSpan w:val="2"/>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54</w:t>
            </w:r>
          </w:p>
        </w:tc>
        <w:tc>
          <w:tcPr>
            <w:tcW w:w="838"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7611.52</w:t>
            </w:r>
          </w:p>
        </w:tc>
        <w:tc>
          <w:tcPr>
            <w:tcW w:w="154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4111.48</w:t>
            </w:r>
          </w:p>
        </w:tc>
        <w:tc>
          <w:tcPr>
            <w:tcW w:w="1680"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3500.04</w:t>
            </w:r>
          </w:p>
        </w:tc>
      </w:tr>
      <w:tr>
        <w:tblPrEx>
          <w:tblCellMar>
            <w:top w:w="0" w:type="dxa"/>
            <w:left w:w="0" w:type="dxa"/>
            <w:bottom w:w="0" w:type="dxa"/>
            <w:right w:w="0" w:type="dxa"/>
          </w:tblCellMar>
        </w:tblPrEx>
        <w:trPr>
          <w:trHeight w:val="585" w:hRule="atLeast"/>
        </w:trPr>
        <w:tc>
          <w:tcPr>
            <w:tcW w:w="13988"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20948" w:type="dxa"/>
        <w:tblInd w:w="0" w:type="dxa"/>
        <w:tblLayout w:type="fixed"/>
        <w:tblCellMar>
          <w:top w:w="0" w:type="dxa"/>
          <w:left w:w="0" w:type="dxa"/>
          <w:bottom w:w="0" w:type="dxa"/>
          <w:right w:w="0" w:type="dxa"/>
        </w:tblCellMar>
      </w:tblPr>
      <w:tblGrid>
        <w:gridCol w:w="726"/>
        <w:gridCol w:w="688"/>
        <w:gridCol w:w="2225"/>
        <w:gridCol w:w="3449"/>
        <w:gridCol w:w="3449"/>
        <w:gridCol w:w="3451"/>
        <w:gridCol w:w="1740"/>
        <w:gridCol w:w="1740"/>
        <w:gridCol w:w="1740"/>
        <w:gridCol w:w="1740"/>
      </w:tblGrid>
      <w:tr>
        <w:tblPrEx>
          <w:tblCellMar>
            <w:top w:w="0" w:type="dxa"/>
            <w:left w:w="0" w:type="dxa"/>
            <w:bottom w:w="0" w:type="dxa"/>
            <w:right w:w="0" w:type="dxa"/>
          </w:tblCellMar>
        </w:tblPrEx>
        <w:trPr>
          <w:gridAfter w:val="4"/>
          <w:wAfter w:w="6960" w:type="dxa"/>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一般公共预算财政拨款支出决算表</w:t>
            </w:r>
          </w:p>
        </w:tc>
      </w:tr>
      <w:tr>
        <w:tblPrEx>
          <w:tblCellMar>
            <w:top w:w="0" w:type="dxa"/>
            <w:left w:w="0" w:type="dxa"/>
            <w:bottom w:w="0" w:type="dxa"/>
            <w:right w:w="0" w:type="dxa"/>
          </w:tblCellMar>
        </w:tblPrEx>
        <w:trPr>
          <w:gridAfter w:val="4"/>
          <w:wAfter w:w="6960" w:type="dxa"/>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w:t>
            </w:r>
            <w:r>
              <w:rPr>
                <w:rStyle w:val="11"/>
                <w:sz w:val="20"/>
                <w:szCs w:val="20"/>
                <w:highlight w:val="none"/>
                <w:lang w:val="en-US" w:eastAsia="zh-CN" w:bidi="ar"/>
              </w:rPr>
              <w:t>5表</w:t>
            </w:r>
          </w:p>
        </w:tc>
      </w:tr>
      <w:tr>
        <w:tblPrEx>
          <w:tblCellMar>
            <w:top w:w="0" w:type="dxa"/>
            <w:left w:w="0" w:type="dxa"/>
            <w:bottom w:w="0" w:type="dxa"/>
            <w:right w:w="0" w:type="dxa"/>
          </w:tblCellMar>
        </w:tblPrEx>
        <w:trPr>
          <w:gridAfter w:val="4"/>
          <w:wAfter w:w="6960" w:type="dxa"/>
          <w:trHeight w:val="300" w:hRule="atLeast"/>
        </w:trPr>
        <w:tc>
          <w:tcPr>
            <w:tcW w:w="3639"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gridAfter w:val="4"/>
          <w:wAfter w:w="6960" w:type="dxa"/>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项 </w:t>
            </w:r>
            <w:r>
              <w:rPr>
                <w:rStyle w:val="14"/>
                <w:sz w:val="20"/>
                <w:szCs w:val="20"/>
                <w:highlight w:val="none"/>
                <w:lang w:val="en-US" w:eastAsia="zh-CN" w:bidi="ar"/>
              </w:rPr>
              <w:t xml:space="preserve">   </w:t>
            </w:r>
            <w:r>
              <w:rPr>
                <w:rStyle w:val="13"/>
                <w:sz w:val="20"/>
                <w:szCs w:val="20"/>
                <w:highlight w:val="none"/>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r>
      <w:tr>
        <w:tblPrEx>
          <w:tblCellMar>
            <w:top w:w="0" w:type="dxa"/>
            <w:left w:w="0" w:type="dxa"/>
            <w:bottom w:w="0" w:type="dxa"/>
            <w:right w:w="0" w:type="dxa"/>
          </w:tblCellMar>
        </w:tblPrEx>
        <w:trPr>
          <w:gridAfter w:val="4"/>
          <w:wAfter w:w="6960" w:type="dxa"/>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CellMar>
            <w:top w:w="0" w:type="dxa"/>
            <w:left w:w="0" w:type="dxa"/>
            <w:bottom w:w="0" w:type="dxa"/>
            <w:right w:w="0" w:type="dxa"/>
          </w:tblCellMar>
        </w:tblPrEx>
        <w:trPr>
          <w:gridAfter w:val="4"/>
          <w:wAfter w:w="6960" w:type="dxa"/>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4"/>
          <w:wAfter w:w="6960" w:type="dxa"/>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4"/>
          <w:wAfter w:w="6960" w:type="dxa"/>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CellMar>
            <w:top w:w="0" w:type="dxa"/>
            <w:left w:w="0" w:type="dxa"/>
            <w:bottom w:w="0" w:type="dxa"/>
            <w:right w:w="0" w:type="dxa"/>
          </w:tblCellMar>
        </w:tblPrEx>
        <w:trPr>
          <w:gridAfter w:val="4"/>
          <w:wAfter w:w="6960" w:type="dxa"/>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2200.25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1758.86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441.39</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1759.47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1372.14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387.33</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商贸事务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1759.47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1372.14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387.33</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818.6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818.6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2011302</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一般行政管理事务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280.11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280.11</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2011308</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招商引资</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106.98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106.98</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2011350</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事业运行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507.51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507.51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2011399</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其他商贸事务支出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46.27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46.02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0.25</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行政事业单位离退休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386.72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2080501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归口管理的行政单位离退休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348.49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348.49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2080502</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38.23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38.23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节能环保支出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21103</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污染防治</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2110301</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大气</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商业服务业等支出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52.06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21602</w:t>
            </w:r>
          </w:p>
        </w:tc>
        <w:tc>
          <w:tcPr>
            <w:tcW w:w="22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商业流通事务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52.06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4"/>
          <w:wAfter w:w="6960" w:type="dxa"/>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val="en-US" w:eastAsia="zh-CN"/>
              </w:rPr>
              <w:t>2160299</w:t>
            </w:r>
          </w:p>
        </w:tc>
        <w:tc>
          <w:tcPr>
            <w:tcW w:w="222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其它商业流通事务支出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52.06</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注：本表反映部门本年度一般公共预算财政拨款支出情况。本表金额转换为万元时，因四舍五入可能存在尾差。</w:t>
            </w:r>
          </w:p>
        </w:tc>
        <w:tc>
          <w:tcPr>
            <w:tcW w:w="17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c>
          <w:tcPr>
            <w:tcW w:w="17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c>
          <w:tcPr>
            <w:tcW w:w="17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c>
          <w:tcPr>
            <w:tcW w:w="1740" w:type="dxa"/>
            <w:tcBorders>
              <w:top w:val="nil"/>
              <w:left w:val="nil"/>
              <w:bottom w:val="nil"/>
              <w:right w:val="nil"/>
            </w:tcBorders>
            <w:noWrap w:val="0"/>
            <w:tcMar>
              <w:top w:w="15" w:type="dxa"/>
              <w:left w:w="15" w:type="dxa"/>
              <w:right w:w="15" w:type="dxa"/>
            </w:tcMar>
            <w:vAlign w:val="center"/>
          </w:tcPr>
          <w:p>
            <w:pPr>
              <w:jc w:val="righ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sz w:val="20"/>
                <w:szCs w:val="20"/>
                <w:highlight w:val="none"/>
                <w:u w:val="none"/>
                <w:lang w:val="en-US" w:eastAsia="zh-CN"/>
              </w:rPr>
              <w:t>0.00</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jc w:val="left"/>
              <w:rPr>
                <w:rFonts w:hint="default" w:ascii="Arial" w:hAnsi="Arial" w:eastAsia="宋体"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部门：</w:t>
            </w:r>
            <w:r>
              <w:rPr>
                <w:rFonts w:hint="eastAsia" w:ascii="Arial" w:hAnsi="Arial" w:eastAsia="宋体" w:cs="Arial"/>
                <w:i w:val="0"/>
                <w:color w:val="000000"/>
                <w:kern w:val="0"/>
                <w:sz w:val="20"/>
                <w:szCs w:val="20"/>
                <w:highlight w:val="none"/>
                <w:u w:val="none"/>
                <w:lang w:val="en-US" w:eastAsia="zh-CN" w:bidi="ar"/>
              </w:rPr>
              <w:t>许昌市商务局</w:t>
            </w: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2066"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357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1269.37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101.44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0.54</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346.37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416.70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0.20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0.54</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218.40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10.99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105.92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0.72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46.91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24.51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2.77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4.91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70.62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1.63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24.87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387.52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0.73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58.42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309.12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1.28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2.49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2.34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250" w:firstLineChars="0"/>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6.86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11.60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4.03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41.02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1656.89</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101.97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部门：许昌市商务局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22.58</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18.00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18.00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4.58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96.00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56.81</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17.90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17.90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21.29</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注：本表反映部门本年度“三公”经费支出预决算情况。其中，</w:t>
            </w:r>
            <w:r>
              <w:rPr>
                <w:rStyle w:val="16"/>
                <w:sz w:val="20"/>
                <w:szCs w:val="20"/>
                <w:highlight w:val="none"/>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highlight w:val="none"/>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265" w:type="dxa"/>
        <w:tblInd w:w="0" w:type="dxa"/>
        <w:tblLayout w:type="fixed"/>
        <w:tblCellMar>
          <w:top w:w="0" w:type="dxa"/>
          <w:left w:w="0" w:type="dxa"/>
          <w:bottom w:w="0" w:type="dxa"/>
          <w:right w:w="0" w:type="dxa"/>
        </w:tblCellMar>
      </w:tblPr>
      <w:tblGrid>
        <w:gridCol w:w="612"/>
        <w:gridCol w:w="536"/>
        <w:gridCol w:w="4001"/>
        <w:gridCol w:w="1785"/>
        <w:gridCol w:w="1455"/>
        <w:gridCol w:w="90"/>
        <w:gridCol w:w="1380"/>
        <w:gridCol w:w="547"/>
        <w:gridCol w:w="668"/>
        <w:gridCol w:w="1500"/>
        <w:gridCol w:w="277"/>
        <w:gridCol w:w="938"/>
        <w:gridCol w:w="199"/>
        <w:gridCol w:w="277"/>
      </w:tblGrid>
      <w:tr>
        <w:tblPrEx>
          <w:tblCellMar>
            <w:top w:w="0" w:type="dxa"/>
            <w:left w:w="0" w:type="dxa"/>
            <w:bottom w:w="0" w:type="dxa"/>
            <w:right w:w="0" w:type="dxa"/>
          </w:tblCellMar>
        </w:tblPrEx>
        <w:trPr>
          <w:gridAfter w:val="1"/>
          <w:wAfter w:w="277"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001"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8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445"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14"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公开08表</w:t>
            </w:r>
          </w:p>
        </w:tc>
      </w:tr>
      <w:tr>
        <w:tblPrEx>
          <w:tblCellMar>
            <w:top w:w="0" w:type="dxa"/>
            <w:left w:w="0" w:type="dxa"/>
            <w:bottom w:w="0" w:type="dxa"/>
            <w:right w:w="0" w:type="dxa"/>
          </w:tblCellMar>
        </w:tblPrEx>
        <w:trPr>
          <w:trHeight w:val="300" w:hRule="atLeast"/>
        </w:trPr>
        <w:tc>
          <w:tcPr>
            <w:tcW w:w="5149"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r>
              <w:rPr>
                <w:rFonts w:hint="eastAsia" w:ascii="宋体" w:hAnsi="宋体" w:eastAsia="宋体" w:cs="宋体"/>
                <w:i w:val="0"/>
                <w:color w:val="000000"/>
                <w:sz w:val="20"/>
                <w:szCs w:val="20"/>
                <w:highlight w:val="none"/>
                <w:u w:val="none"/>
                <w:lang w:eastAsia="zh-CN"/>
              </w:rPr>
              <w:t>许昌市商务局</w:t>
            </w:r>
          </w:p>
        </w:tc>
        <w:tc>
          <w:tcPr>
            <w:tcW w:w="1785"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55"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445"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14" w:type="dxa"/>
            <w:gridSpan w:val="3"/>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CellMar>
            <w:top w:w="0" w:type="dxa"/>
            <w:left w:w="0" w:type="dxa"/>
            <w:bottom w:w="0" w:type="dxa"/>
            <w:right w:w="0" w:type="dxa"/>
          </w:tblCellMar>
        </w:tblPrEx>
        <w:trPr>
          <w:gridAfter w:val="2"/>
          <w:wAfter w:w="476" w:type="dxa"/>
          <w:trHeight w:val="405" w:hRule="atLeast"/>
        </w:trPr>
        <w:tc>
          <w:tcPr>
            <w:tcW w:w="514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785"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年初结转和结余</w:t>
            </w:r>
          </w:p>
        </w:tc>
        <w:tc>
          <w:tcPr>
            <w:tcW w:w="145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w:t>
            </w:r>
          </w:p>
        </w:tc>
        <w:tc>
          <w:tcPr>
            <w:tcW w:w="4185"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c>
          <w:tcPr>
            <w:tcW w:w="1215"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年末结转和结余</w:t>
            </w:r>
          </w:p>
        </w:tc>
      </w:tr>
      <w:tr>
        <w:tblPrEx>
          <w:tblCellMar>
            <w:top w:w="0" w:type="dxa"/>
            <w:left w:w="0" w:type="dxa"/>
            <w:bottom w:w="0" w:type="dxa"/>
            <w:right w:w="0" w:type="dxa"/>
          </w:tblCellMar>
        </w:tblPrEx>
        <w:trPr>
          <w:gridAfter w:val="2"/>
          <w:wAfter w:w="476"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4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7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5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7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215"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500"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215"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476"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5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7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5"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476"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5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7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5"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5"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476" w:type="dxa"/>
          <w:trHeight w:val="450" w:hRule="atLeast"/>
        </w:trPr>
        <w:tc>
          <w:tcPr>
            <w:tcW w:w="514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CellMar>
            <w:top w:w="0" w:type="dxa"/>
            <w:left w:w="0" w:type="dxa"/>
            <w:bottom w:w="0" w:type="dxa"/>
            <w:right w:w="0" w:type="dxa"/>
          </w:tblCellMar>
        </w:tblPrEx>
        <w:trPr>
          <w:gridAfter w:val="2"/>
          <w:wAfter w:w="476" w:type="dxa"/>
          <w:trHeight w:val="600" w:hRule="atLeast"/>
        </w:trPr>
        <w:tc>
          <w:tcPr>
            <w:tcW w:w="5149"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212</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城乡社区支出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21208</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国有土地使用权出收及对应专项债务收入安排的支出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2120899</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其他国有土使用权出让收入安排的支出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3500.00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215</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资源勘探信息等支出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21560</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散装水泥专项资金及对应专项债务收入安排的支出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r>
      <w:tr>
        <w:tblPrEx>
          <w:tblCellMar>
            <w:top w:w="0" w:type="dxa"/>
            <w:left w:w="0" w:type="dxa"/>
            <w:bottom w:w="0" w:type="dxa"/>
            <w:right w:w="0" w:type="dxa"/>
          </w:tblCellMar>
        </w:tblPrEx>
        <w:trPr>
          <w:gridAfter w:val="2"/>
          <w:wAfter w:w="476"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2156099</w:t>
            </w:r>
          </w:p>
        </w:tc>
        <w:tc>
          <w:tcPr>
            <w:tcW w:w="400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其他散装水泥专项资金支出</w:t>
            </w:r>
          </w:p>
        </w:tc>
        <w:tc>
          <w:tcPr>
            <w:tcW w:w="1785" w:type="dxa"/>
            <w:tcBorders>
              <w:top w:val="single" w:color="000000" w:sz="4" w:space="0"/>
              <w:left w:val="single" w:color="000000" w:sz="4" w:space="0"/>
              <w:bottom w:val="single" w:color="000000" w:sz="8"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1455" w:type="dxa"/>
            <w:tcBorders>
              <w:top w:val="single" w:color="000000" w:sz="4" w:space="0"/>
              <w:left w:val="single" w:color="auto"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47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500"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r>
              <w:rPr>
                <w:rFonts w:hint="eastAsia" w:ascii="宋体" w:hAnsi="宋体" w:cs="宋体"/>
                <w:i w:val="0"/>
                <w:color w:val="000000"/>
                <w:sz w:val="20"/>
                <w:szCs w:val="20"/>
                <w:highlight w:val="none"/>
                <w:u w:val="none"/>
                <w:lang w:val="en-US" w:eastAsia="zh-CN"/>
              </w:rPr>
              <w:t>0.00</w:t>
            </w:r>
          </w:p>
        </w:tc>
        <w:tc>
          <w:tcPr>
            <w:tcW w:w="1215"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r>
      <w:tr>
        <w:tblPrEx>
          <w:tblCellMar>
            <w:top w:w="0" w:type="dxa"/>
            <w:left w:w="0" w:type="dxa"/>
            <w:bottom w:w="0" w:type="dxa"/>
            <w:right w:w="0" w:type="dxa"/>
          </w:tblCellMar>
        </w:tblPrEx>
        <w:trPr>
          <w:gridAfter w:val="2"/>
          <w:wAfter w:w="476" w:type="dxa"/>
          <w:trHeight w:val="645" w:hRule="atLeast"/>
        </w:trPr>
        <w:tc>
          <w:tcPr>
            <w:tcW w:w="13789"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注：本表反映部门本年度政府性基金预算财政拨款收入、支出及结转和结余情况。</w:t>
            </w:r>
          </w:p>
        </w:tc>
      </w:tr>
    </w:tbl>
    <w:p>
      <w:pPr>
        <w:keepNext w:val="0"/>
        <w:keepLines w:val="0"/>
        <w:pageBreakBefore w:val="0"/>
        <w:widowControl/>
        <w:kinsoku/>
        <w:wordWrap/>
        <w:overflowPunct/>
        <w:topLinePunct w:val="0"/>
        <w:autoSpaceDE/>
        <w:autoSpaceDN/>
        <w:bidi w:val="0"/>
        <w:adjustRightInd/>
        <w:snapToGrid/>
        <w:spacing w:line="590" w:lineRule="exact"/>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2018年度收、支总计均为7633.66万元。与上年度相比，收、支总计各增加4431.09万元，增长138.36%。主要原因是增加了2018年政府性基金预算财政拨款3500万元。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2018年度收入合计6736.52万元，其中：财政拨款收入6736.52万元，占100%。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2018年度支出合计5710.83万元，其中：基本支出1764.36万元，占30.9%；项目支出3946.46万元，占69.1%.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2018年度财政拨款收、支总计均为7611.52万元。与上年度相比，财政拨款收、支总计各增加4432.03万元，增长58.23%。主要原因是支出增加了2018年政府性基金预算财政拨款3500万元。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2018年度一般公共预算财政拨款支出2200.25万元，占本年支出合计的38.53%。与上年度相比，一般公共预算财政拨款支出增加166.01万元，增长7.55%。主要原因是离退休人员增资。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2200.25万元，主要用于以下方面：一般公共服务（类）支出1759.47万元，占79.96%；社会保障和就业支出（类）支出386.72万元，占17.58%；节能环保支出（类）2万元，占0.09%；商业服务业等支出（类）52.06万元，占2.37%。</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1．一般公共服务支出（类）商贸事务（款）行政运行（项）。</w:t>
      </w:r>
      <w:r>
        <w:rPr>
          <w:rFonts w:hint="eastAsia" w:ascii="仿宋_GB2312" w:hAnsi="仿宋_GB2312" w:eastAsia="仿宋_GB2312" w:cs="仿宋_GB2312"/>
          <w:color w:val="auto"/>
          <w:sz w:val="32"/>
          <w:szCs w:val="32"/>
          <w:highlight w:val="none"/>
          <w:lang w:val="en-US" w:eastAsia="zh-CN"/>
        </w:rPr>
        <w:t>年初预算为767.52万元，支出决算为818.6万元，完成年初预算的106.66%。决算数与年初预算数存在差异的主要原因是在职人员增资。</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2、一般公共服务支出（类）商贸事务（款）一般行政管理事务（项）。</w:t>
      </w:r>
      <w:r>
        <w:rPr>
          <w:rFonts w:hint="eastAsia" w:ascii="仿宋_GB2312" w:hAnsi="仿宋_GB2312" w:eastAsia="仿宋_GB2312" w:cs="仿宋_GB2312"/>
          <w:color w:val="auto"/>
          <w:sz w:val="32"/>
          <w:szCs w:val="32"/>
          <w:highlight w:val="none"/>
          <w:lang w:val="en-US" w:eastAsia="zh-CN"/>
        </w:rPr>
        <w:t>年初预算为94.85万元，支出决算为280.11万元，完成年初预算的295.32%。决算数与年初预算数存在差异的主要原因是商务局2018年追加了举办中德合作交流会暨承接长三角地区产业转移、赴德国瑞典荷兰开展招商活动、现代物流转型发展工作经费和赴德国捷克奥地利开展招商活动经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3．一般公共服务支出（类）商贸事务（款）招商引资（项）。</w:t>
      </w:r>
      <w:r>
        <w:rPr>
          <w:rFonts w:hint="eastAsia" w:ascii="仿宋_GB2312" w:hAnsi="仿宋_GB2312" w:eastAsia="仿宋_GB2312" w:cs="仿宋_GB2312"/>
          <w:color w:val="auto"/>
          <w:sz w:val="32"/>
          <w:szCs w:val="32"/>
          <w:highlight w:val="none"/>
          <w:lang w:val="en-US" w:eastAsia="zh-CN"/>
        </w:rPr>
        <w:t>年初预算为84万元，支出决算为106.98万元，完成年初预算的127.36%。决算数与年初预算数存在差异的主要原因是有一些活动是根据上级部门要求商务局临时追加。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4.一般公共服务（类）商贸运行（款）事业运行（项）</w:t>
      </w:r>
      <w:r>
        <w:rPr>
          <w:rFonts w:hint="eastAsia" w:ascii="仿宋_GB2312" w:hAnsi="仿宋_GB2312" w:eastAsia="仿宋_GB2312" w:cs="仿宋_GB2312"/>
          <w:color w:val="auto"/>
          <w:sz w:val="32"/>
          <w:szCs w:val="32"/>
          <w:highlight w:val="none"/>
          <w:lang w:val="en-US" w:eastAsia="zh-CN"/>
        </w:rPr>
        <w:t>年初预算为476.56万元，支出决算为507.51万元，完成年初预算的106.49%。决算数与年初预算数存在差异的主要原因是人员工资增加。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5.一般公共服务（类）商贸运行（款）其它商贸事务支出（项）</w:t>
      </w:r>
      <w:r>
        <w:rPr>
          <w:rFonts w:hint="eastAsia" w:ascii="仿宋_GB2312" w:hAnsi="仿宋_GB2312" w:eastAsia="仿宋_GB2312" w:cs="仿宋_GB2312"/>
          <w:color w:val="auto"/>
          <w:sz w:val="32"/>
          <w:szCs w:val="32"/>
          <w:highlight w:val="none"/>
          <w:lang w:val="en-US" w:eastAsia="zh-CN"/>
        </w:rPr>
        <w:t xml:space="preserve">年初预算为0万元，支出决算为46.27万元。决算数与年初预算数存在差异的主要原因是年初无预算。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w:t>
      </w:r>
      <w:r>
        <w:rPr>
          <w:rFonts w:hint="eastAsia" w:ascii="仿宋_GB2312" w:hAnsi="仿宋_GB2312" w:eastAsia="仿宋_GB2312" w:cs="仿宋_GB2312"/>
          <w:b/>
          <w:bCs/>
          <w:sz w:val="32"/>
          <w:szCs w:val="32"/>
          <w:highlight w:val="none"/>
        </w:rPr>
        <w:t>行政</w:t>
      </w:r>
      <w:r>
        <w:rPr>
          <w:rFonts w:hint="eastAsia" w:ascii="仿宋_GB2312" w:hAnsi="仿宋_GB2312" w:eastAsia="仿宋_GB2312" w:cs="仿宋_GB2312"/>
          <w:b/>
          <w:bCs/>
          <w:sz w:val="32"/>
          <w:szCs w:val="32"/>
          <w:highlight w:val="none"/>
          <w:lang w:eastAsia="zh-CN"/>
        </w:rPr>
        <w:t>事业</w:t>
      </w:r>
      <w:r>
        <w:rPr>
          <w:rFonts w:hint="eastAsia" w:ascii="仿宋_GB2312" w:hAnsi="仿宋_GB2312" w:eastAsia="仿宋_GB2312" w:cs="仿宋_GB2312"/>
          <w:b/>
          <w:bCs/>
          <w:sz w:val="32"/>
          <w:szCs w:val="32"/>
          <w:highlight w:val="none"/>
        </w:rPr>
        <w:t>单位离退休</w:t>
      </w:r>
      <w:r>
        <w:rPr>
          <w:rFonts w:hint="eastAsia" w:ascii="仿宋_GB2312" w:hAnsi="仿宋_GB2312" w:eastAsia="仿宋_GB2312" w:cs="仿宋_GB2312"/>
          <w:b/>
          <w:bCs/>
          <w:color w:val="auto"/>
          <w:sz w:val="32"/>
          <w:szCs w:val="32"/>
          <w:highlight w:val="none"/>
          <w:lang w:val="en-US" w:eastAsia="zh-CN"/>
        </w:rPr>
        <w:t>（款）归口管理的行政单位离退休（项）。</w:t>
      </w:r>
      <w:r>
        <w:rPr>
          <w:rFonts w:hint="eastAsia" w:ascii="仿宋_GB2312" w:hAnsi="仿宋_GB2312" w:eastAsia="仿宋_GB2312" w:cs="仿宋_GB2312"/>
          <w:color w:val="auto"/>
          <w:sz w:val="32"/>
          <w:szCs w:val="32"/>
          <w:highlight w:val="none"/>
          <w:lang w:val="en-US" w:eastAsia="zh-CN"/>
        </w:rPr>
        <w:t>年初预算为335.8万元，支出决算为348.49万元，完成年初预算的103.78%。决算数与年初预算数存在差异的主要原因是退休人员增资。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w:t>
      </w:r>
      <w:r>
        <w:rPr>
          <w:rFonts w:hint="eastAsia" w:ascii="仿宋_GB2312" w:hAnsi="仿宋_GB2312" w:eastAsia="仿宋_GB2312" w:cs="仿宋_GB2312"/>
          <w:b/>
          <w:bCs/>
          <w:sz w:val="32"/>
          <w:szCs w:val="32"/>
          <w:highlight w:val="none"/>
        </w:rPr>
        <w:t>行政</w:t>
      </w:r>
      <w:r>
        <w:rPr>
          <w:rFonts w:hint="eastAsia" w:ascii="仿宋_GB2312" w:hAnsi="仿宋_GB2312" w:eastAsia="仿宋_GB2312" w:cs="仿宋_GB2312"/>
          <w:b/>
          <w:bCs/>
          <w:sz w:val="32"/>
          <w:szCs w:val="32"/>
          <w:highlight w:val="none"/>
          <w:lang w:eastAsia="zh-CN"/>
        </w:rPr>
        <w:t>事业</w:t>
      </w:r>
      <w:r>
        <w:rPr>
          <w:rFonts w:hint="eastAsia" w:ascii="仿宋_GB2312" w:hAnsi="仿宋_GB2312" w:eastAsia="仿宋_GB2312" w:cs="仿宋_GB2312"/>
          <w:b/>
          <w:bCs/>
          <w:sz w:val="32"/>
          <w:szCs w:val="32"/>
          <w:highlight w:val="none"/>
        </w:rPr>
        <w:t>单位离退休</w:t>
      </w:r>
      <w:r>
        <w:rPr>
          <w:rFonts w:hint="eastAsia" w:ascii="仿宋_GB2312" w:hAnsi="仿宋_GB2312" w:eastAsia="仿宋_GB2312" w:cs="仿宋_GB2312"/>
          <w:b/>
          <w:bCs/>
          <w:color w:val="auto"/>
          <w:sz w:val="32"/>
          <w:szCs w:val="32"/>
          <w:highlight w:val="none"/>
          <w:lang w:val="en-US" w:eastAsia="zh-CN"/>
        </w:rPr>
        <w:t>（款）事业单位离退休（项）。</w:t>
      </w:r>
      <w:r>
        <w:rPr>
          <w:rFonts w:hint="eastAsia" w:ascii="仿宋_GB2312" w:hAnsi="仿宋_GB2312" w:eastAsia="仿宋_GB2312" w:cs="仿宋_GB2312"/>
          <w:color w:val="auto"/>
          <w:sz w:val="32"/>
          <w:szCs w:val="32"/>
          <w:highlight w:val="none"/>
          <w:lang w:val="en-US" w:eastAsia="zh-CN"/>
        </w:rPr>
        <w:t>年初预算为38.36万元，支出决算为38.23万元，完成年初预算的99.66%。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8.节能环保支出（类）污染防治（款）大气（项）。</w:t>
      </w:r>
      <w:r>
        <w:rPr>
          <w:rFonts w:hint="eastAsia" w:ascii="仿宋_GB2312" w:hAnsi="仿宋_GB2312" w:eastAsia="仿宋_GB2312" w:cs="仿宋_GB2312"/>
          <w:color w:val="auto"/>
          <w:sz w:val="32"/>
          <w:szCs w:val="32"/>
          <w:highlight w:val="none"/>
          <w:lang w:val="en-US" w:eastAsia="zh-CN"/>
        </w:rPr>
        <w:t>年初预算为0万元，支出决算为2万元。决算数与年初预算数存在差异的主要原因是年初无预算。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9.商业服务业等支出（类）商业流通事务（款）其他商业流通事务支行（项）。</w:t>
      </w:r>
      <w:r>
        <w:rPr>
          <w:rFonts w:hint="eastAsia" w:ascii="仿宋_GB2312" w:hAnsi="仿宋_GB2312" w:eastAsia="仿宋_GB2312" w:cs="仿宋_GB2312"/>
          <w:color w:val="auto"/>
          <w:sz w:val="32"/>
          <w:szCs w:val="32"/>
          <w:highlight w:val="none"/>
          <w:lang w:val="en-US" w:eastAsia="zh-CN"/>
        </w:rPr>
        <w:t>年初预算为0万元，支出决算为52.06万元。决算数与年初预算数存在差异的主要原因是该项目资金为编制电子商务及编制国家级供应链创新与应用试点咨询费电子商务培训费。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1758.86万元。其中：人员经费1656.89万元，主要包括：基本工资、津贴补贴、绩效工资、机关事业单位基本养老保险缴费、职业年金缴费、其他社会保障缴费、其他工资福利支出、离休费、退休费、抚恤金、生活补助、住房公积金；公用经费101.97万元，主要包括：办公费、印刷费、水费、电费、邮电费、差旅费、维修（护）费、租赁费、会议费、培训费、公务接待费、专用材料费、劳务费、工会经费、福利费、公务用车运行维护费、其他交通费用、办公设备购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2018年度“三公”经费财政拨款支出预算为22.58万元，支出决算为96万元，完成预算的425.16%。2018年度“三公”经费支出决算数与预算数存在差异的主要原因是因公出国（境）费用在年初无预算。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56.81万元，年初无预算，占59.17%；公务用车购置及运行费支出决算17.9万元，完成预算的99.44%，占18.65%；公务接待费支出决算21.29万元，完成预算的464.85%，占22.18%。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56.81万元。决算数与年初预算数存在差异的主要原因是因公出国费年初无预算。全年因公出国（境）团组4个，累计9人次。开支内容包括：由市领导率团我局共计9人参团，到境外举行许昌市情说明会，开展招商并参加境外经贸活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初预算为18万元，支出决算为17.9万元，完成年初预算的99.44%。决算数与年初预算数存在差异的主要原因是随着商务局职能的增加，我市加大对外招商活动及对德合作项目的推进，车辆出行到企业考察次数增多，导致日常加油费用增加。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17.9万元。主要用于燃油费、车辆保险费。2018年期末，部门开支财政拨款的公务用车保有量为7辆。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初预算为4.58万元，支出决算为21.29万元，完成年初预算的464.84%。决算数与年初预算数存在差异的主要原因是</w:t>
      </w:r>
      <w:r>
        <w:rPr>
          <w:rFonts w:hint="eastAsia" w:ascii="仿宋_GB2312" w:hAnsi="仿宋_GB2312" w:eastAsia="仿宋_GB2312" w:cs="仿宋_GB2312"/>
          <w:sz w:val="32"/>
          <w:szCs w:val="32"/>
          <w:highlight w:val="none"/>
          <w:lang w:val="en-US" w:eastAsia="zh-CN"/>
        </w:rPr>
        <w:t>上级部门来许对我市商贸领域承担的各项工作督导、检查、考核验收等；各地市政府、商务局赴许学习经验等</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对德合作、自贸区建设、现代物流转型发展、跨境电商等工作受到社会各界广泛关注，省外、境外知名企业、行业协会、组织到我市实地考察，投资兴业频繁</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4.04万元。主要用于德国国防部前部长鲁道夫.沙尔平次来许考察调研。2018年共接待国（境）外来访团组6个、来访外宾61人次（不包括陪同人员）。来访人员主要包括：沙尔平、欧盟中国经济文化委员会匈牙利商务代表考察团等。</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17.25万元。主要用于各地市政府、商务局来许考察、现代物流转型发展及</w:t>
      </w:r>
      <w:r>
        <w:rPr>
          <w:rFonts w:hint="eastAsia" w:ascii="仿宋_GB2312" w:hAnsi="仿宋_GB2312" w:eastAsia="仿宋_GB2312" w:cs="仿宋_GB2312"/>
          <w:sz w:val="32"/>
          <w:szCs w:val="32"/>
          <w:highlight w:val="none"/>
          <w:lang w:val="en-US" w:eastAsia="zh-CN"/>
        </w:rPr>
        <w:t>省外、境外知名企业、行业协会、组织到我市实地考察、原河南检验检疫局各分支检验检疫局业务交流学习和上级领导考核检查</w:t>
      </w:r>
      <w:r>
        <w:rPr>
          <w:rFonts w:hint="eastAsia" w:ascii="仿宋_GB2312" w:hAnsi="仿宋_GB2312" w:eastAsia="仿宋_GB2312" w:cs="仿宋_GB2312"/>
          <w:color w:val="auto"/>
          <w:sz w:val="32"/>
          <w:szCs w:val="32"/>
          <w:highlight w:val="none"/>
          <w:lang w:val="en-US" w:eastAsia="zh-CN"/>
        </w:rPr>
        <w:t>。2018年共接待国内来访团组32个、来宾209人次（不包括陪同人员）。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许昌市商务局部门没有开展绩效管理工作。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许昌市商务局部门没有开展项目绩效自评结果。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（三）以部门为主体开展的重点绩效评价结果。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许昌市商务局部门没有开展以部门为主体的重点绩效评价。</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性基金预算财政拨款支出年初预算为0万元，支出决算为3500万元。主要用于从土地出让金预支市商务局7家破产企业拖欠社保和垫付社保，其中该项目资金已于2018年8月、9月直接拨付到破产企业，年末无结余，</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2018年度机关运行经费年初预算为110.57万元，支出决算为99.15万元，完成年初预算的89.67%。决算数与年初预算数存在差异的主要原因是2018年我部门加大对日常办公用品管理、</w:t>
      </w:r>
      <w:r>
        <w:rPr>
          <w:rFonts w:hint="eastAsia" w:ascii="仿宋_GB2312" w:eastAsia="仿宋_GB2312" w:cs="宋体"/>
          <w:kern w:val="0"/>
          <w:sz w:val="32"/>
          <w:szCs w:val="32"/>
          <w:highlight w:val="none"/>
          <w:lang w:val="zh-CN"/>
        </w:rPr>
        <w:t>压缩部门运行开支、其中对外开放服务中心的</w:t>
      </w:r>
      <w:r>
        <w:rPr>
          <w:rFonts w:hint="eastAsia" w:ascii="仿宋_GB2312" w:hAnsi="仿宋_GB2312" w:eastAsia="仿宋_GB2312" w:cs="仿宋_GB2312"/>
          <w:sz w:val="32"/>
          <w:szCs w:val="32"/>
          <w:highlight w:val="none"/>
        </w:rPr>
        <w:t>水电费、物业费等主要机关运行经费由许昌海关（原许昌出入境检验检疫局）支出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期末，我部门共有车辆7辆，其中：省级领导干部用车0辆、主要领导干部用车0辆、机要通信用车0辆、应急保障车1辆、执法执勤用车2辆、特种专业技术用车0辆、离退休干部用车2辆、其他用车2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geTwG2AEAALADAAAOAAAAAAAAAAEAIAAA&#10;AB4BAABkcnMvZTJvRG9jLnhtbFBLBQYAAAAABgAGAFkBAABo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IfwdgraAQAAswMAAA4AAAAAAAAAAQAg&#10;AAAAHgEAAGRycy9lMm9Eb2MueG1sUEsFBgAAAAAGAAYAWQEAAGo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C56AF0"/>
    <w:rsid w:val="0EAD3F3B"/>
    <w:rsid w:val="156B42DB"/>
    <w:rsid w:val="1BDE589A"/>
    <w:rsid w:val="1CFB2192"/>
    <w:rsid w:val="2A121DB6"/>
    <w:rsid w:val="31694A57"/>
    <w:rsid w:val="32381909"/>
    <w:rsid w:val="34F77032"/>
    <w:rsid w:val="43A60AF3"/>
    <w:rsid w:val="43D60158"/>
    <w:rsid w:val="4B9F0655"/>
    <w:rsid w:val="4F2B3E9F"/>
    <w:rsid w:val="552D704E"/>
    <w:rsid w:val="6B827E2E"/>
    <w:rsid w:val="70C947FF"/>
    <w:rsid w:val="751C6D1B"/>
    <w:rsid w:val="7A4E7F09"/>
    <w:rsid w:val="7ADB5929"/>
    <w:rsid w:val="7B4764D5"/>
    <w:rsid w:val="7D422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kern w:val="2"/>
      <w:sz w:val="18"/>
      <w:szCs w:val="18"/>
    </w:rPr>
  </w:style>
  <w:style w:type="paragraph" w:styleId="4">
    <w:name w:val="footer"/>
    <w:basedOn w:val="1"/>
    <w:link w:val="18"/>
    <w:qFormat/>
    <w:uiPriority w:val="0"/>
    <w:pPr>
      <w:tabs>
        <w:tab w:val="center" w:pos="4153"/>
        <w:tab w:val="right" w:pos="8306"/>
      </w:tabs>
      <w:snapToGrid w:val="0"/>
      <w:jc w:val="left"/>
    </w:pPr>
    <w:rPr>
      <w:kern w:val="2"/>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spacing w:line="375" w:lineRule="atLeast"/>
      <w:jc w:val="left"/>
    </w:pPr>
    <w:rPr>
      <w:rFonts w:hint="default"/>
      <w:kern w:val="0"/>
      <w:sz w:val="24"/>
      <w:lang w:val="en-US" w:eastAsia="zh-CN"/>
    </w:rPr>
  </w:style>
  <w:style w:type="character" w:styleId="9">
    <w:name w:val="FollowedHyperlink"/>
    <w:qFormat/>
    <w:uiPriority w:val="0"/>
    <w:rPr>
      <w:color w:val="800080"/>
      <w:u w:val="single"/>
    </w:rPr>
  </w:style>
  <w:style w:type="character" w:styleId="10">
    <w:name w:val="Hyperlink"/>
    <w:qFormat/>
    <w:uiPriority w:val="0"/>
    <w:rPr>
      <w:color w:val="0000FF"/>
      <w:u w:val="single"/>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21"/>
    <w:basedOn w:val="8"/>
    <w:qFormat/>
    <w:uiPriority w:val="0"/>
    <w:rPr>
      <w:rFonts w:hint="eastAsia" w:ascii="宋体" w:hAnsi="宋体" w:eastAsia="宋体" w:cs="宋体"/>
      <w:color w:val="000000"/>
      <w:sz w:val="22"/>
      <w:szCs w:val="22"/>
      <w:u w:val="none"/>
    </w:rPr>
  </w:style>
  <w:style w:type="character" w:customStyle="1" w:styleId="13">
    <w:name w:val="font5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页眉 Char Char"/>
    <w:link w:val="5"/>
    <w:qFormat/>
    <w:uiPriority w:val="0"/>
    <w:rPr>
      <w:kern w:val="2"/>
      <w:sz w:val="18"/>
      <w:szCs w:val="18"/>
    </w:rPr>
  </w:style>
  <w:style w:type="character" w:customStyle="1" w:styleId="16">
    <w:name w:val="font41"/>
    <w:basedOn w:val="8"/>
    <w:qFormat/>
    <w:uiPriority w:val="0"/>
    <w:rPr>
      <w:rFonts w:hint="eastAsia" w:ascii="宋体" w:hAnsi="宋体" w:eastAsia="宋体" w:cs="宋体"/>
      <w:color w:val="000000"/>
      <w:sz w:val="24"/>
      <w:szCs w:val="24"/>
      <w:u w:val="none"/>
    </w:rPr>
  </w:style>
  <w:style w:type="character" w:customStyle="1" w:styleId="17">
    <w:name w:val="批注框文本 Char Char"/>
    <w:basedOn w:val="8"/>
    <w:link w:val="3"/>
    <w:qFormat/>
    <w:uiPriority w:val="0"/>
    <w:rPr>
      <w:kern w:val="2"/>
      <w:sz w:val="18"/>
      <w:szCs w:val="18"/>
    </w:rPr>
  </w:style>
  <w:style w:type="character" w:customStyle="1" w:styleId="18">
    <w:name w:val="页脚 Char Char"/>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17</Pages>
  <Words>1217</Words>
  <Characters>6937</Characters>
  <Lines>57</Lines>
  <Paragraphs>16</Paragraphs>
  <TotalTime>1</TotalTime>
  <ScaleCrop>false</ScaleCrop>
  <LinksUpToDate>false</LinksUpToDate>
  <CharactersWithSpaces>8138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2018-07-24T10:50:00Z</cp:lastPrinted>
  <dcterms:modified xsi:type="dcterms:W3CDTF">2019-09-05T03:34:47Z</dcterms:modified>
  <dc:title>2018年度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CD6F05B74DDE45FFA17C0F61CA338FC5</vt:lpwstr>
  </property>
</Properties>
</file>